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A3616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091B">
        <w:rPr>
          <w:rFonts w:ascii="Garamond" w:hAnsi="Garamond"/>
          <w:sz w:val="24"/>
          <w:szCs w:val="24"/>
        </w:rPr>
        <w:t>0</w:t>
      </w:r>
      <w:r w:rsidR="00797769">
        <w:rPr>
          <w:rFonts w:ascii="Garamond" w:hAnsi="Garamond"/>
          <w:sz w:val="24"/>
          <w:szCs w:val="24"/>
        </w:rPr>
        <w:t>3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B0091B">
        <w:rPr>
          <w:rFonts w:ascii="Garamond" w:hAnsi="Garamond"/>
          <w:sz w:val="24"/>
          <w:szCs w:val="24"/>
        </w:rPr>
        <w:t>4</w:t>
      </w:r>
    </w:p>
    <w:p w14:paraId="734915B7" w14:textId="2769D14D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97769" w:rsidRPr="007C21B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https://zakazky.zcu.cz/contract_display_6545.html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CE6D1C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797769">
        <w:rPr>
          <w:rFonts w:ascii="Garamond" w:hAnsi="Garamond" w:cs="Arial"/>
          <w:b/>
          <w:sz w:val="22"/>
          <w:szCs w:val="22"/>
        </w:rPr>
        <w:t>05.02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8451C5">
        <w:rPr>
          <w:rFonts w:ascii="Garamond" w:hAnsi="Garamond" w:cs="Arial"/>
          <w:b/>
          <w:sz w:val="22"/>
          <w:szCs w:val="22"/>
        </w:rPr>
        <w:t>4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74DA9" w14:textId="77777777" w:rsidR="002314BB" w:rsidRDefault="002314BB" w:rsidP="00795AAC">
      <w:r>
        <w:separator/>
      </w:r>
    </w:p>
  </w:endnote>
  <w:endnote w:type="continuationSeparator" w:id="0">
    <w:p w14:paraId="0F87751F" w14:textId="77777777" w:rsidR="002314BB" w:rsidRDefault="002314B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F97F8" w14:textId="77777777" w:rsidR="002314BB" w:rsidRDefault="002314BB" w:rsidP="00795AAC">
      <w:r>
        <w:separator/>
      </w:r>
    </w:p>
  </w:footnote>
  <w:footnote w:type="continuationSeparator" w:id="0">
    <w:p w14:paraId="71D40A5C" w14:textId="77777777" w:rsidR="002314BB" w:rsidRDefault="002314B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322"/>
    <w:rsid w:val="00230A5B"/>
    <w:rsid w:val="002314B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97769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51C5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091B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45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1C0eJa+OYjotDrBsn6jn2XaF5I93n3MGS+KVlAsczGs=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QWHtlTPE/qigdPmYs+evF4qkcWdK/yoAW1cgUESMJQA=</DigestValue>
    </Reference>
  </SignedInfo>
  <SignatureValue>s+ys4ysYaYO0UyJq13KOgDXJGmivN0dgRCjdVNIpBGG7DqcWlczkp+lamg6nJd047Ouox2V84Ais
6C2IbeJy5W/328C50VX3sk6W8/h0eVJ3MrhAzPDDn2TQkvaVuLjq7rCCSt6m+FLVvwVg2ZERwsu9
7e8/M4jgZQzhbk7e75SBRih8D0AEC+TJhPUDRq4MjB6jch1iu242zl+dE14ehABHwXUtCAqd9Pso
6VausiHARxvSGpSoYxD5bV2RKQKk6tZZcUm27OYBLMVSRbD0aQh9zIsnUqBszNOHDbmvTnHpB2dF
teN7Qi8PFgdBxtxnTJPxycXA7iIEUD//RQqAJA==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UsjvpzbcOPdrrdKly3Eafhcy/+jr/dRq9ZKhlSlZhUo=</DigestValue>
      </Reference>
      <Reference URI="/word/document.xml?ContentType=application/vnd.openxmlformats-officedocument.wordprocessingml.document.main+xml">
        <DigestMethod Algorithm="http://www.w3.org/2001/04/xmlenc#sha256"/>
        <DigestValue>OlCZMFQvNrPFL5NfJWNUAksDpxVq4rwNlvwze1/U2N0=</DigestValue>
      </Reference>
      <Reference URI="/word/endnotes.xml?ContentType=application/vnd.openxmlformats-officedocument.wordprocessingml.endnotes+xml">
        <DigestMethod Algorithm="http://www.w3.org/2001/04/xmlenc#sha256"/>
        <DigestValue>nfFJPTW7lqPjgHRnMdefABbnbOknDJNDDQB1EsurNIs=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5z+OBCQvEii8ONRRBOvciqejNEtoyKuIHP2JJqXEixM=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MJH9CDCgJxmZH62LRsE4JqkiNF2xM0w3qQhF5B73Mjk=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2024-01-19T11:47:44Z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2024-01-19T11:47:44Z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2023-03-02T06:51:00Z</cp:lastPrinted>
  <dcterms:created xsi:type="dcterms:W3CDTF">2023-03-03T06:52:00Z</dcterms:created>
  <dcterms:modified xsi:type="dcterms:W3CDTF">2024-01-19T11:47:00Z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